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1AD" w:rsidRPr="007131AD" w:rsidRDefault="007131AD" w:rsidP="007131A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Pr="007131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"https://oblsud--hmao.sudrf.ru/modules.php?name=sud_delo&amp;srv_num=1&amp;name_op=case&amp;n_c=1&amp;case_id=1964165&amp;delo_id=5&amp;new=5" </w:instrText>
      </w:r>
      <w:r w:rsidRPr="007131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Pr="007131AD">
        <w:rPr>
          <w:rFonts w:ascii="Arial" w:eastAsia="Times New Roman" w:hAnsi="Arial" w:cs="Arial"/>
          <w:color w:val="006699"/>
          <w:sz w:val="17"/>
          <w:u w:val="single"/>
          <w:lang w:eastAsia="ru-RU"/>
        </w:rPr>
        <w:t>Информация по делу №33-6763/2017</w:t>
      </w:r>
      <w:r w:rsidRPr="007131AD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56"/>
        <w:gridCol w:w="178"/>
        <w:gridCol w:w="2538"/>
      </w:tblGrid>
      <w:tr w:rsidR="007131AD" w:rsidRPr="007131AD" w:rsidTr="007131A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131AD" w:rsidRPr="007131AD" w:rsidRDefault="007131AD" w:rsidP="0071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131A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Судья </w:t>
            </w:r>
            <w:proofErr w:type="spellStart"/>
            <w:r w:rsidRPr="007131A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Макиев</w:t>
            </w:r>
            <w:proofErr w:type="spellEnd"/>
            <w:r w:rsidRPr="007131A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131AD" w:rsidRPr="007131AD" w:rsidRDefault="007131AD" w:rsidP="0071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131AD" w:rsidRPr="007131AD" w:rsidRDefault="007131AD" w:rsidP="00713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131AD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Дело № 33 – 6763/2017</w:t>
            </w:r>
          </w:p>
        </w:tc>
      </w:tr>
    </w:tbl>
    <w:p w:rsidR="007131AD" w:rsidRPr="007131AD" w:rsidRDefault="007131AD" w:rsidP="007131A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АПЕЛЛЯЦИОННОЕ ОПРЕДЕЛЕНИЕ</w:t>
      </w:r>
    </w:p>
    <w:p w:rsidR="007131AD" w:rsidRPr="007131AD" w:rsidRDefault="007131AD" w:rsidP="007131AD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19 сентября 2017 года                                     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 Ханты-Мансийск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Судебная коллегия по гражданским делам суда Ханты-Мансийского автономного округа —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Югры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в составе:</w:t>
      </w:r>
    </w:p>
    <w:p w:rsidR="007131AD" w:rsidRPr="007131AD" w:rsidRDefault="007131AD" w:rsidP="007131AD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председательствующего    Вороной Н.Л.</w:t>
      </w:r>
    </w:p>
    <w:p w:rsidR="007131AD" w:rsidRPr="007131AD" w:rsidRDefault="007131AD" w:rsidP="007131AD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судей:                Беспаловой В.В., Данилова А.В.</w:t>
      </w:r>
    </w:p>
    <w:p w:rsidR="007131AD" w:rsidRPr="007131AD" w:rsidRDefault="007131AD" w:rsidP="007131AD">
      <w:pPr>
        <w:spacing w:after="0" w:line="240" w:lineRule="auto"/>
        <w:ind w:firstLine="720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при секретаре            Чайка Е.А.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рассмотрела в открытом судебном заседании гражданское дело по искам </w:t>
      </w:r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>Краснова Д.Г.</w:t>
      </w: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 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>Миконова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к ООО «Управляющая компания – Квартал» о возложении обязанности по производству перерасчета,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 апелляционным жалобам </w:t>
      </w:r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>Краснова Д.Г.</w:t>
      </w: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 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>Миконова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 на решение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Нижневартовского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городского суда от 24 мая 2017 года, которым в удовлетворении заявленных требований отказано.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Заслушав доклад судьи Вороной Н.Л., судебная коллегия</w:t>
      </w:r>
    </w:p>
    <w:p w:rsidR="007131AD" w:rsidRPr="007131AD" w:rsidRDefault="007131AD" w:rsidP="007131A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установила: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Краснов Д.Г. обратился в суд к ООО «Управляющая компания-Квартал» (далее – Общество) с иском, в котором просил обязать ответчика произвести перерасчет размера оплаты за услуги по отоплению в жилом помещении по адресу: г. Нижневартовск, ул.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Ханты-Мансийская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д. 13, кв. 12 за период с 1 января 2015 года по день вынесения решения суда, исходя из показаний индивидуального прибора учета тепловой энергии.</w:t>
      </w:r>
      <w:proofErr w:type="gramEnd"/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обоснование иска указал, что в названной квартире установлены индивидуальные приборы учёта отопления, горячего и холодного водоснабжения, показания которых он исправно подавал Обществу.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Начиная с 1 января 2015 года ответчик, не проинформировав его, стал начислять плату за отопление исходя из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общедомовых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приборов учета. Он направил ответчику претензию, в которой просил произвести перерасчет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платы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за отопление исходя из показаний индивидуальных приборов учета тепловой энергии, но 11 апреля 2017 года получил отказ мотивированный тем, что 30 апреля 2015 года произведено обследование в одиннадцати квартирах, в десяти из которых установлено отсутствие сетки фильтров грубой отчистки после запорной арматуры, что способствует загрязнению подвижных элементов прибора учета и их остановки.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Не согласен с таким решением, поскольку в его квартире ИПУ не обследован, он не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недолжен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нести отрицательных последствий, в связи с ненадлежащим использованием ИПУ другими собственниками.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Миконов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С.М. обратился в суд к Обществу с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иском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в котором просил обязать ответчика произвести перерасчет размера оплаты за услуги по отоплению в жилом помещении по адресу: г. Нижневартовск, ул.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Ханты-Мансийская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 д. 13, кв. 29 за период с 1 января 2015 года по день вынесения решения суда, исходя из индивидуального учета тепловой энергии.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обоснование требований указал те же, что и вышеназванный истец, доводы.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Определением суда от 17 мая 2017 года дела по названным искам соединены в одно производство.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В судебном заседании Краснов Д.Г., его представитель Бабаева С.Н.к.,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Миконов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С.М. заявленные требования поддержали,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Представитель Общества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Анаян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А.А. заявленные требования не признал, сославшись на то, что большая часть индивидуальных приборов по отоплению, установленных в квартирах дома №13 по ул.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Ханты-Мансийская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в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г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 Нижневартовске не введена в эксплуатацию и является неработоспособной.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Судом постановлено вышеуказанное решение, об отмене которого и вынесении нового просят в апелляционных жалобах Краснов Д.Г.,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Миконов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С.М.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обосновании жалоб указывают на нарушение судом норм материального и процессуального права. Суд обосновал решение актом от 30 апреля 2015 года №243, согласно которому Обществом установлено, что из одиннадцати обследуемых квартир, в десяти отсутствуют фильтры грубой отчистки после запорной арматуры, что способствует загрязнению подвижных элементов индивидуальных приборов учета и их остановке.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спорном доме все квартиры оборудованы ИПУ тепловой энергии, данные приборы опломбированы и введены в эксплуатацию, при заселении всех жильцов дома. Ответчик принимал показания у жильцов и начислял плату исходя их показаний ИПУ вплоть до спорного периода.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Согласно п. 31 Правил ответчик обязан самостоятельно или с привлечением других лиц осуществлять техническое обслуживание внутридомовых инженерных систем, с использованием которых предоставляются коммунальные услуги потребителю. Следовательно, после установления факта нахождения ИПУ в неисправном состоянии ответчик был обязан устранить неисправности ИПУ самостоятельно, а не в одностороннем порядке изменять оплату за отопление. Кроме того, для того, чтобы начать начислять плату за отопление исходя из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общедомовых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приборов учета, необходимо письменно уведомить всех собственников квартир, о своем намерении, поскольку нормы действующего законодательства не предусматривают одностороннее изменение существующих взаимоотношений. Однако данное действие ответчиком выполнено не было.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В ходе судебного заседания они неоднократно указывали, что осмотр ИПУ в их квартирах не производился. В большинстве квартир в доме произведена перепланировка в виде присоединения балконов и утеплении их путем установки дополнительного радиатора отопления, в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связи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 чем получается, что отапливаемая часть в таких квартирах увеличилась, хотя документально она осталась неизменной. Таким образом, получается, что им приходится оплачивать вместо кого-то несколько квадратных метров. Данные обстоятельства оставлены судом без внимания и должной оценки.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Ответчик, проведя проверку в 11 квартирах, должен был обратиться с уведомлением к собственникам об устранении недостатков в работе ИПУ, а не в одностороннем порядке переходить на иной порядок оплаты за отопление. Таким образом, ненадлежащее исполнение ответчиком своих обязанностей не должно являться основанием для изменения размера платы за отопление с ИПУ на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общедомовые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приборы учета тепла. Акт проверки Службы жилищного и строительного надзора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ХМАО-Югры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от 26 февраля 2016 года не может быть принят в качестве доказательства по делу, поскольку в нем отсутствуют номера осмотренных квартир, в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связи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 чем ссылка суда на него в решении незаконна.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 судебное заседание суда апелляционной инстанции стороны не явились. О времени и месте судебного заседания ответчик извещен надлежащим образом (телефонограммами от 22 августа 2017 года). Руководствуясь ст.ст.327, 167 Гражданского процессуального кодекса Российской Федерации суд счел возможным рассмотреть дело в отсутствие сторон.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lastRenderedPageBreak/>
        <w:t>Проверив законность и обоснованность решения суда первой инстанции исходя из доводов, изложенных в апелляционных жалобах, оценив имеющиеся в деле доказательства, судебная коллегия не находит оснований для отмены решения суда.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Спор между сторонами возник о праве истцов оплачивать отопление, исходя из показаний индивидуальных приборов учёта тепловой энергии (далее – ИПУ), установленных в их квартирах.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Из дела следует, что многоквартирный дом, в котором расположены квартиры истцов, оборудован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общедомовым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прибором учёта, в квартирах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выполнена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горизонтальная разводка системы отопления, с установкой ИПУ. Однако, как минимум в 25 квартирах дома ИПУ не функционируют.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Названные сведения содержатся в Акте проверки Службы жилищного и строительного надзора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ХМАО-Югры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от 26 февраля 2016 года. Довод жалобы о том, что Акт нельзя принять в качестве доказательства, поскольку в нём отсутствуют номера осмотренных квартир, является ошибочным. Из содержания Акта следует, что был произведён осмотр квартир, собственники которых обратились в Службу (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л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.д.164-165).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Установив данные обстоятельства, суд пришёл к выводу об отсутствии правовых оснований для удовлетворения требований истцов. При этом суд исходил из того, что для начисления платы за тепло по показаниям ИПУ обязательным условием является факт введения в эксплуатацию ИПУ всеми собственниками квартир спорного многоквартирного дома.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Коллегия соглашается с данным выводом, находя ошибочными доводы апеллянтов, исходя из следующего.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Коммунальная услуга теплоснабжения оказывается круглосуточно, непрерывно в течение отопительного периода и должна обеспечить теплоснабжение всех помещений (в том числе относящихся к общему имуществу), входящих в многоквартирный дом.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Согласно п. 40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года N 354, потребитель коммунальной услуги по отоплению вносит плату за эту услугу совокупно без разделения на плату за потребление указанной услуги в жилом (нежилом) помещении и плату за ее потребление на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общедомовые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нужды.</w:t>
      </w:r>
      <w:proofErr w:type="gramEnd"/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Таким образом, истцы, внося плату за отопление, также оплачивают тепло, потребляемое на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общедомовые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нужды, что не противоречит требованиям ст.ст. 210, 289, 290 Гражданского кодекса Российской Федерации.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 учётом изложенного, принимая во внимание, что теплоснабжение квартир истцов обеспечивается также и за счёт теплоотдачи других помещений через общие конструкции дома, взимание платы по предложенному истцами варианту приведёт к незаконному их освобождению от оплаты части коммунальной услуги.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Доводы жалоб об увеличении отапливаемых помещений дома за счёт присоединения другими собственниками квартир балконов (лоджий) не относятся к предмету настоящего спора, в </w:t>
      </w:r>
      <w:proofErr w:type="gram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связи</w:t>
      </w:r>
      <w:proofErr w:type="gram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с чем коллегия оставляет их без обсуждения.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Поскольку апеллянты в жалобах не приводят доводов, которые являлись бы основанием для отмены судебного решения, апелляционные жалобы удовлетворению не подлежат.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Руководствуясь статьями 328, 329 Гражданского процессуального кодекса Российской Федерации, судебная коллегия,</w:t>
      </w:r>
    </w:p>
    <w:p w:rsidR="007131AD" w:rsidRPr="007131AD" w:rsidRDefault="007131AD" w:rsidP="007131AD">
      <w:pPr>
        <w:spacing w:after="0" w:line="240" w:lineRule="auto"/>
        <w:ind w:firstLine="720"/>
        <w:jc w:val="center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определила: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решение 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Нижневартовского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 xml:space="preserve"> городского суда от 24 мая 2017 года оставить без изменения, апелляционные жалобы </w:t>
      </w:r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>Краснова Д.Г.</w:t>
      </w: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, </w:t>
      </w:r>
      <w:proofErr w:type="spellStart"/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>Миконова</w:t>
      </w:r>
      <w:proofErr w:type="spellEnd"/>
      <w:r w:rsidRPr="007131AD">
        <w:rPr>
          <w:rFonts w:ascii="Arial" w:eastAsia="Times New Roman" w:hAnsi="Arial" w:cs="Arial"/>
          <w:color w:val="000000"/>
          <w:sz w:val="17"/>
          <w:lang w:eastAsia="ru-RU"/>
        </w:rPr>
        <w:t xml:space="preserve"> С.М.</w:t>
      </w: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 – без удовлетворения.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Председательствующий                        Вороная Н.Л.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Судьи:                                    Беспалова В.В.</w:t>
      </w:r>
    </w:p>
    <w:p w:rsidR="007131AD" w:rsidRPr="007131AD" w:rsidRDefault="007131AD" w:rsidP="007131AD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</w:pPr>
      <w:r w:rsidRPr="007131AD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ru-RU"/>
        </w:rPr>
        <w:t>Данилов А.В.</w:t>
      </w:r>
    </w:p>
    <w:p w:rsidR="0006792C" w:rsidRDefault="0006792C"/>
    <w:sectPr w:rsidR="0006792C" w:rsidSect="00067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31AD"/>
    <w:rsid w:val="0006792C"/>
    <w:rsid w:val="00142B5F"/>
    <w:rsid w:val="001B585B"/>
    <w:rsid w:val="007131AD"/>
    <w:rsid w:val="0078044B"/>
    <w:rsid w:val="00CD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F"/>
  </w:style>
  <w:style w:type="paragraph" w:styleId="1">
    <w:name w:val="heading 1"/>
    <w:basedOn w:val="a"/>
    <w:link w:val="10"/>
    <w:uiPriority w:val="9"/>
    <w:qFormat/>
    <w:rsid w:val="00142B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42B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42B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B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42B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2B5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42B5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131A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1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o3">
    <w:name w:val="fio3"/>
    <w:basedOn w:val="a0"/>
    <w:rsid w:val="007131AD"/>
  </w:style>
  <w:style w:type="character" w:customStyle="1" w:styleId="fio1">
    <w:name w:val="fio1"/>
    <w:basedOn w:val="a0"/>
    <w:rsid w:val="007131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1462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2017-11-15T09:01:00Z</dcterms:created>
  <dcterms:modified xsi:type="dcterms:W3CDTF">2017-11-15T09:03:00Z</dcterms:modified>
</cp:coreProperties>
</file>